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Style w:val="4"/>
          <w:rFonts w:ascii="微软雅黑" w:hAnsi="微软雅黑" w:eastAsia="微软雅黑"/>
          <w:color w:val="000000"/>
          <w:sz w:val="27"/>
          <w:szCs w:val="27"/>
          <w:shd w:val="clear" w:color="auto" w:fill="F7F7F7"/>
        </w:rPr>
      </w:pPr>
      <w:r>
        <w:rPr>
          <w:rStyle w:val="4"/>
          <w:rFonts w:hint="eastAsia" w:ascii="微软雅黑" w:hAnsi="微软雅黑" w:eastAsia="微软雅黑"/>
          <w:color w:val="000000"/>
          <w:sz w:val="27"/>
          <w:szCs w:val="27"/>
          <w:shd w:val="clear" w:color="auto" w:fill="F7F7F7"/>
        </w:rPr>
        <w:t>部门预算公开工作方案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一、基本原则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540" w:firstLineChars="20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（一）坚持以公开为常态、不公开为例外。除涉及国家秘密的信息外，积极推动省社科联预决算公开。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（二）坚持明确和落实责任。财务依法主动公开预决算信息，负责公开省社科联预决算。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（三）坚持以公开促改革。以预决算公开为抓手加强省社科联预决算执行力度，为机关正常运行提供经费保障。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二、工作要求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公开202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年省社科联预算。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1.公开主体：省社科联。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2.公开时间：在批复部门预算后20日内公开。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3.公开方式：省社科联官网信息公开专栏公开。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4.公开内容：主要是省社科联预算公开工作方案、省社科联概况、省社科联预算情况说明、省社科联预算批复表、名词解释五个方面。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三、强化公开保障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一）统一思想，加强组织领导。预决算公开是依法行政的有力保障，要充分认识预决算公开的重要意义。要加强组织领导，按照“方向明确、过程可控、结果可查、易于监督”的原则，严格划分责任分工，积极抓好工作落实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（二）强化监督，严肃公开纪律。预决算公开是预算法等法律规定部门应当履行的法定义务，要依法及时公开相关预算信息。及时向省财政厅报送预决算公开完成情况，切实推动预决算公开依法有序进行。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三）加强引导，做好舆论宣传。预决算公开社会关注度高，要加强社会反映评估和舆情引导，积极与新闻媒体沟通，加强正面宣传和舆论引导，营造良好的预算公开氛围。对预算公开中涉及的重大事项，要做好对社会公众的解释说明工作，解释内容要做到通俗易懂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hint="eastAsia" w:ascii="微软雅黑" w:hAnsi="微软雅黑" w:eastAsia="微软雅黑"/>
        </w:rPr>
      </w:pP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</w:rPr>
        <w:t xml:space="preserve">                                     </w:t>
      </w:r>
      <w:r>
        <w:rPr>
          <w:rFonts w:ascii="微软雅黑" w:hAnsi="微软雅黑" w:eastAsia="微软雅黑"/>
          <w:sz w:val="28"/>
          <w:szCs w:val="28"/>
        </w:rPr>
        <w:t xml:space="preserve">  黑龙江省社会科学界联合会</w:t>
      </w:r>
    </w:p>
    <w:p>
      <w:pPr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 xml:space="preserve">                                  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</Words>
  <Characters>612</Characters>
  <Lines>5</Lines>
  <Paragraphs>1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2020-02-24T06:37:00Z</dcterms:created>
  <dc:creator>admin</dc:creator>
  <cp:lastModifiedBy>LENOVO</cp:lastModifiedBy>
  <dcterms:modified xsi:type="dcterms:W3CDTF">2025-01-24T06:25:49Z</dcterms:modified>
  <dc:title>部门预算公开工作方案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  <property fmtid="{D5CDD505-2E9C-101B-9397-08002B2CF9AE}" pid="3" name="ICV">
    <vt:lpwstr>22AF0038028F4EF7A36B615C6D1CEC5C</vt:lpwstr>
  </property>
</Properties>
</file>