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1E453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sz w:val="32"/>
          <w:szCs w:val="32"/>
        </w:rPr>
      </w:pPr>
      <w:r>
        <w:rPr>
          <w:rFonts w:hint="eastAsia" w:ascii="Times New Roman" w:hAnsi="Times New Roman" w:eastAsia="黑体" w:cs="黑体"/>
          <w:sz w:val="32"/>
          <w:szCs w:val="32"/>
        </w:rPr>
        <w:t>附件</w:t>
      </w:r>
    </w:p>
    <w:p w14:paraId="0C0FC7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黑体" w:cs="黑体"/>
          <w:sz w:val="32"/>
          <w:szCs w:val="32"/>
        </w:rPr>
      </w:pPr>
    </w:p>
    <w:p w14:paraId="1F1120D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rPr>
      </w:pPr>
      <w:bookmarkStart w:id="0" w:name="_GoBack"/>
      <w:r>
        <w:rPr>
          <w:rFonts w:hint="eastAsia" w:ascii="Times New Roman" w:hAnsi="Times New Roman" w:eastAsia="方正小标宋简体" w:cs="方正小标宋简体"/>
          <w:spacing w:val="-6"/>
          <w:w w:val="98"/>
          <w:sz w:val="44"/>
          <w:szCs w:val="44"/>
        </w:rPr>
        <w:t>202</w:t>
      </w:r>
      <w:r>
        <w:rPr>
          <w:rFonts w:hint="eastAsia" w:ascii="Times New Roman" w:hAnsi="Times New Roman" w:eastAsia="方正小标宋简体" w:cs="方正小标宋简体"/>
          <w:spacing w:val="-6"/>
          <w:w w:val="98"/>
          <w:sz w:val="44"/>
          <w:szCs w:val="44"/>
          <w:lang w:val="en-US" w:eastAsia="zh-CN"/>
        </w:rPr>
        <w:t>6</w:t>
      </w:r>
      <w:r>
        <w:rPr>
          <w:rFonts w:hint="eastAsia" w:ascii="Times New Roman" w:hAnsi="Times New Roman" w:eastAsia="方正小标宋简体" w:cs="方正小标宋简体"/>
          <w:spacing w:val="-6"/>
          <w:w w:val="98"/>
          <w:sz w:val="44"/>
          <w:szCs w:val="44"/>
        </w:rPr>
        <w:t>年度黑龙江省经济社会发展重点研究课题</w:t>
      </w:r>
    </w:p>
    <w:p w14:paraId="7A63C8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rPr>
      </w:pP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eastAsia="zh-CN"/>
        </w:rPr>
        <w:t>纪检监察</w:t>
      </w:r>
      <w:r>
        <w:rPr>
          <w:rFonts w:hint="eastAsia" w:ascii="Times New Roman" w:hAnsi="Times New Roman" w:eastAsia="方正小标宋简体" w:cs="方正小标宋简体"/>
          <w:sz w:val="44"/>
          <w:szCs w:val="44"/>
          <w:lang w:val="en-US" w:eastAsia="zh-CN"/>
        </w:rPr>
        <w:t>专项</w:t>
      </w: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eastAsia="zh-CN"/>
        </w:rPr>
        <w:t>立项</w:t>
      </w:r>
      <w:r>
        <w:rPr>
          <w:rFonts w:hint="eastAsia" w:ascii="Times New Roman" w:hAnsi="Times New Roman" w:eastAsia="方正小标宋简体" w:cs="方正小标宋简体"/>
          <w:sz w:val="44"/>
          <w:szCs w:val="44"/>
        </w:rPr>
        <w:t>名单</w:t>
      </w:r>
    </w:p>
    <w:bookmarkEnd w:id="0"/>
    <w:p w14:paraId="6D3123C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方正小标宋简体"/>
          <w:sz w:val="44"/>
          <w:szCs w:val="44"/>
          <w:lang w:val="en-US" w:eastAsia="zh-CN"/>
        </w:rPr>
      </w:pPr>
    </w:p>
    <w:tbl>
      <w:tblPr>
        <w:tblStyle w:val="19"/>
        <w:tblW w:w="9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835"/>
        <w:gridCol w:w="4903"/>
        <w:gridCol w:w="1053"/>
        <w:gridCol w:w="1960"/>
        <w:gridCol w:w="749"/>
      </w:tblGrid>
      <w:tr w14:paraId="1D30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exact"/>
          <w:tblHeader/>
          <w:jc w:val="center"/>
        </w:trPr>
        <w:tc>
          <w:tcPr>
            <w:tcW w:w="487" w:type="dxa"/>
            <w:noWrap w:val="0"/>
            <w:vAlign w:val="center"/>
          </w:tcPr>
          <w:p w14:paraId="31BB5EE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rPr>
              <w:t>序号</w:t>
            </w:r>
          </w:p>
        </w:tc>
        <w:tc>
          <w:tcPr>
            <w:tcW w:w="835" w:type="dxa"/>
            <w:noWrap w:val="0"/>
            <w:vAlign w:val="center"/>
          </w:tcPr>
          <w:p w14:paraId="13EE425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sz w:val="24"/>
                <w:szCs w:val="24"/>
                <w:highlight w:val="none"/>
                <w:lang w:val="en-US" w:eastAsia="zh-CN"/>
              </w:rPr>
            </w:pPr>
            <w:r>
              <w:rPr>
                <w:rFonts w:hint="eastAsia" w:ascii="Times New Roman" w:hAnsi="Times New Roman" w:eastAsia="黑体" w:cs="Times New Roman"/>
                <w:b w:val="0"/>
                <w:bCs w:val="0"/>
                <w:color w:val="auto"/>
                <w:sz w:val="24"/>
                <w:szCs w:val="24"/>
                <w:highlight w:val="none"/>
                <w:lang w:val="en-US" w:eastAsia="zh-CN"/>
              </w:rPr>
              <w:t>课题</w:t>
            </w:r>
          </w:p>
          <w:p w14:paraId="38F926D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lang w:val="en-US" w:eastAsia="zh-CN"/>
              </w:rPr>
              <w:t>编号</w:t>
            </w:r>
          </w:p>
        </w:tc>
        <w:tc>
          <w:tcPr>
            <w:tcW w:w="4903" w:type="dxa"/>
            <w:noWrap w:val="0"/>
            <w:vAlign w:val="center"/>
          </w:tcPr>
          <w:p w14:paraId="6C24099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Times New Roman"/>
                <w:b w:val="0"/>
                <w:bCs w:val="0"/>
                <w:color w:val="auto"/>
                <w:sz w:val="24"/>
                <w:szCs w:val="24"/>
                <w:highlight w:val="none"/>
              </w:rPr>
              <w:t>课题名称</w:t>
            </w:r>
          </w:p>
        </w:tc>
        <w:tc>
          <w:tcPr>
            <w:tcW w:w="1053" w:type="dxa"/>
            <w:noWrap w:val="0"/>
            <w:vAlign w:val="center"/>
          </w:tcPr>
          <w:p w14:paraId="65B0682C">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黑体"/>
                <w:b w:val="0"/>
                <w:bCs w:val="0"/>
                <w:color w:val="000000"/>
                <w:sz w:val="24"/>
                <w:szCs w:val="24"/>
              </w:rPr>
            </w:pPr>
            <w:r>
              <w:rPr>
                <w:rFonts w:hint="eastAsia" w:ascii="Times New Roman" w:hAnsi="Times New Roman" w:eastAsia="黑体" w:cs="黑体"/>
                <w:b w:val="0"/>
                <w:bCs w:val="0"/>
                <w:color w:val="000000"/>
                <w:sz w:val="24"/>
                <w:szCs w:val="24"/>
              </w:rPr>
              <w:t>课题</w:t>
            </w:r>
          </w:p>
          <w:p w14:paraId="5021A02E">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黑体"/>
                <w:b w:val="0"/>
                <w:bCs w:val="0"/>
                <w:color w:val="000000"/>
                <w:sz w:val="24"/>
                <w:szCs w:val="24"/>
              </w:rPr>
              <w:t>负责人</w:t>
            </w:r>
          </w:p>
        </w:tc>
        <w:tc>
          <w:tcPr>
            <w:tcW w:w="1960" w:type="dxa"/>
            <w:noWrap w:val="0"/>
            <w:vAlign w:val="center"/>
          </w:tcPr>
          <w:p w14:paraId="79B1ADD0">
            <w:pPr>
              <w:keepNext w:val="0"/>
              <w:keepLines w:val="0"/>
              <w:pageBreakBefore w:val="0"/>
              <w:widowControl w:val="0"/>
              <w:kinsoku/>
              <w:wordWrap/>
              <w:overflowPunct/>
              <w:topLinePunct w:val="0"/>
              <w:autoSpaceDE/>
              <w:autoSpaceDN w:val="0"/>
              <w:bidi w:val="0"/>
              <w:adjustRightInd/>
              <w:snapToGrid/>
              <w:spacing w:line="280" w:lineRule="exact"/>
              <w:jc w:val="center"/>
              <w:textAlignment w:val="auto"/>
              <w:rPr>
                <w:rFonts w:hint="eastAsia" w:ascii="Times New Roman" w:hAnsi="Times New Roman" w:eastAsia="黑体" w:cs="Times New Roman"/>
                <w:b w:val="0"/>
                <w:bCs w:val="0"/>
                <w:color w:val="auto"/>
                <w:kern w:val="0"/>
                <w:sz w:val="24"/>
                <w:szCs w:val="24"/>
                <w:highlight w:val="none"/>
                <w:vertAlign w:val="baseline"/>
              </w:rPr>
            </w:pPr>
            <w:r>
              <w:rPr>
                <w:rFonts w:hint="eastAsia" w:ascii="Times New Roman" w:hAnsi="Times New Roman" w:eastAsia="黑体" w:cs="黑体"/>
                <w:b w:val="0"/>
                <w:bCs w:val="0"/>
                <w:color w:val="000000"/>
                <w:sz w:val="24"/>
                <w:szCs w:val="24"/>
              </w:rPr>
              <w:t>课题承担单位</w:t>
            </w:r>
          </w:p>
        </w:tc>
        <w:tc>
          <w:tcPr>
            <w:tcW w:w="749" w:type="dxa"/>
            <w:noWrap w:val="0"/>
            <w:vAlign w:val="center"/>
          </w:tcPr>
          <w:p w14:paraId="56F63BA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黑体" w:cs="Times New Roman"/>
                <w:b w:val="0"/>
                <w:bCs w:val="0"/>
                <w:color w:val="auto"/>
                <w:sz w:val="24"/>
                <w:szCs w:val="24"/>
                <w:highlight w:val="none"/>
                <w:lang w:val="en-US" w:eastAsia="zh-CN"/>
              </w:rPr>
            </w:pPr>
            <w:r>
              <w:rPr>
                <w:rFonts w:hint="eastAsia" w:ascii="Times New Roman" w:hAnsi="Times New Roman" w:eastAsia="黑体" w:cs="Times New Roman"/>
                <w:b w:val="0"/>
                <w:bCs w:val="0"/>
                <w:color w:val="auto"/>
                <w:sz w:val="24"/>
                <w:szCs w:val="24"/>
                <w:highlight w:val="none"/>
                <w:lang w:val="en-US" w:eastAsia="zh-CN"/>
              </w:rPr>
              <w:t>立项类型</w:t>
            </w:r>
          </w:p>
        </w:tc>
      </w:tr>
      <w:tr w14:paraId="1C99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044E054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w:t>
            </w:r>
          </w:p>
        </w:tc>
        <w:tc>
          <w:tcPr>
            <w:tcW w:w="835" w:type="dxa"/>
            <w:noWrap w:val="0"/>
            <w:vAlign w:val="center"/>
          </w:tcPr>
          <w:p w14:paraId="19D5D14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26501</w:t>
            </w:r>
          </w:p>
        </w:tc>
        <w:tc>
          <w:tcPr>
            <w:tcW w:w="4903" w:type="dxa"/>
            <w:noWrap w:val="0"/>
            <w:vAlign w:val="center"/>
          </w:tcPr>
          <w:p w14:paraId="49B9399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黑龙江省群众身边不正之风和腐败问题主要表现及治理对策研究</w:t>
            </w:r>
          </w:p>
        </w:tc>
        <w:tc>
          <w:tcPr>
            <w:tcW w:w="1053" w:type="dxa"/>
            <w:noWrap w:val="0"/>
            <w:vAlign w:val="center"/>
          </w:tcPr>
          <w:p w14:paraId="6F25BC1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林  秋</w:t>
            </w:r>
          </w:p>
        </w:tc>
        <w:tc>
          <w:tcPr>
            <w:tcW w:w="1960" w:type="dxa"/>
            <w:noWrap w:val="0"/>
            <w:vAlign w:val="center"/>
          </w:tcPr>
          <w:p w14:paraId="48A882F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6D54EB6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命题申报</w:t>
            </w:r>
          </w:p>
        </w:tc>
      </w:tr>
      <w:tr w14:paraId="19C4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E9BCEE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w:t>
            </w:r>
          </w:p>
        </w:tc>
        <w:tc>
          <w:tcPr>
            <w:tcW w:w="835" w:type="dxa"/>
            <w:noWrap w:val="0"/>
            <w:vAlign w:val="center"/>
          </w:tcPr>
          <w:p w14:paraId="13F80CB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26502</w:t>
            </w:r>
          </w:p>
        </w:tc>
        <w:tc>
          <w:tcPr>
            <w:tcW w:w="4903" w:type="dxa"/>
            <w:noWrap w:val="0"/>
            <w:vAlign w:val="center"/>
          </w:tcPr>
          <w:p w14:paraId="00B8EEF4">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黑龙江省中小金融机构风险化解与转型</w:t>
            </w:r>
          </w:p>
          <w:p w14:paraId="759D655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发展的路径探索</w:t>
            </w:r>
          </w:p>
        </w:tc>
        <w:tc>
          <w:tcPr>
            <w:tcW w:w="1053" w:type="dxa"/>
            <w:noWrap w:val="0"/>
            <w:vAlign w:val="center"/>
          </w:tcPr>
          <w:p w14:paraId="6BB14F9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陈封锦</w:t>
            </w:r>
          </w:p>
        </w:tc>
        <w:tc>
          <w:tcPr>
            <w:tcW w:w="1960" w:type="dxa"/>
            <w:noWrap w:val="0"/>
            <w:vAlign w:val="center"/>
          </w:tcPr>
          <w:p w14:paraId="59F8F81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2548A5B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F87916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69742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5FA5E41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3</w:t>
            </w:r>
          </w:p>
        </w:tc>
        <w:tc>
          <w:tcPr>
            <w:tcW w:w="835" w:type="dxa"/>
            <w:noWrap w:val="0"/>
            <w:vAlign w:val="center"/>
          </w:tcPr>
          <w:p w14:paraId="0F2707C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26503</w:t>
            </w:r>
          </w:p>
        </w:tc>
        <w:tc>
          <w:tcPr>
            <w:tcW w:w="4903" w:type="dxa"/>
            <w:noWrap w:val="0"/>
            <w:vAlign w:val="center"/>
          </w:tcPr>
          <w:p w14:paraId="6D9D94B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哈尔滨市关于提升纪检监察工作规范化</w:t>
            </w:r>
          </w:p>
          <w:p w14:paraId="5F763B0C">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法治化正规化水平的研究</w:t>
            </w:r>
          </w:p>
        </w:tc>
        <w:tc>
          <w:tcPr>
            <w:tcW w:w="1053" w:type="dxa"/>
            <w:noWrap w:val="0"/>
            <w:vAlign w:val="center"/>
          </w:tcPr>
          <w:p w14:paraId="5B45EBA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default" w:ascii="Times New Roman" w:hAnsi="Times New Roman" w:eastAsia="仿宋" w:cs="Times New Roman"/>
                <w:b w:val="0"/>
                <w:bCs w:val="0"/>
                <w:color w:val="auto"/>
                <w:kern w:val="0"/>
                <w:sz w:val="24"/>
                <w:szCs w:val="24"/>
                <w:highlight w:val="none"/>
                <w:vertAlign w:val="baseline"/>
                <w:lang w:val="en-US"/>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 xml:space="preserve"> /</w:t>
            </w:r>
          </w:p>
        </w:tc>
        <w:tc>
          <w:tcPr>
            <w:tcW w:w="1960" w:type="dxa"/>
            <w:noWrap w:val="0"/>
            <w:vAlign w:val="center"/>
          </w:tcPr>
          <w:p w14:paraId="06E3124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中共哈尔滨市</w:t>
            </w:r>
          </w:p>
          <w:p w14:paraId="0D61F8C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纪律检查委员会</w:t>
            </w:r>
          </w:p>
        </w:tc>
        <w:tc>
          <w:tcPr>
            <w:tcW w:w="749" w:type="dxa"/>
            <w:noWrap w:val="0"/>
            <w:vAlign w:val="center"/>
          </w:tcPr>
          <w:p w14:paraId="586B9B0B">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906A75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0E925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3466476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4</w:t>
            </w:r>
          </w:p>
        </w:tc>
        <w:tc>
          <w:tcPr>
            <w:tcW w:w="835" w:type="dxa"/>
            <w:noWrap w:val="0"/>
            <w:vAlign w:val="center"/>
          </w:tcPr>
          <w:p w14:paraId="20B3CF3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26504</w:t>
            </w:r>
          </w:p>
        </w:tc>
        <w:tc>
          <w:tcPr>
            <w:tcW w:w="4903" w:type="dxa"/>
            <w:noWrap w:val="0"/>
            <w:vAlign w:val="center"/>
          </w:tcPr>
          <w:p w14:paraId="693F3B9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大数据赋能正风反腐的逻辑理路与实现路径研究</w:t>
            </w:r>
          </w:p>
        </w:tc>
        <w:tc>
          <w:tcPr>
            <w:tcW w:w="1053" w:type="dxa"/>
            <w:noWrap w:val="0"/>
            <w:vAlign w:val="center"/>
          </w:tcPr>
          <w:p w14:paraId="18FBAD1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单既阳</w:t>
            </w:r>
          </w:p>
        </w:tc>
        <w:tc>
          <w:tcPr>
            <w:tcW w:w="1960" w:type="dxa"/>
            <w:noWrap w:val="0"/>
            <w:vAlign w:val="center"/>
          </w:tcPr>
          <w:p w14:paraId="53BF557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哈尔滨工业大学</w:t>
            </w:r>
          </w:p>
        </w:tc>
        <w:tc>
          <w:tcPr>
            <w:tcW w:w="749" w:type="dxa"/>
            <w:noWrap w:val="0"/>
            <w:vAlign w:val="center"/>
          </w:tcPr>
          <w:p w14:paraId="3438AC4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4BF9E94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6394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5307DE4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5</w:t>
            </w:r>
          </w:p>
        </w:tc>
        <w:tc>
          <w:tcPr>
            <w:tcW w:w="835" w:type="dxa"/>
            <w:noWrap w:val="0"/>
            <w:vAlign w:val="center"/>
          </w:tcPr>
          <w:p w14:paraId="6EA08F0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26505</w:t>
            </w:r>
          </w:p>
        </w:tc>
        <w:tc>
          <w:tcPr>
            <w:tcW w:w="4903" w:type="dxa"/>
            <w:noWrap w:val="0"/>
            <w:vAlign w:val="center"/>
          </w:tcPr>
          <w:p w14:paraId="42DEC0DE">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新时代廉洁文化建设的实施路径研究</w:t>
            </w:r>
          </w:p>
        </w:tc>
        <w:tc>
          <w:tcPr>
            <w:tcW w:w="1053" w:type="dxa"/>
            <w:noWrap w:val="0"/>
            <w:vAlign w:val="center"/>
          </w:tcPr>
          <w:p w14:paraId="09B15B4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庞冬梅</w:t>
            </w:r>
          </w:p>
        </w:tc>
        <w:tc>
          <w:tcPr>
            <w:tcW w:w="1960" w:type="dxa"/>
            <w:noWrap w:val="0"/>
            <w:vAlign w:val="center"/>
          </w:tcPr>
          <w:p w14:paraId="529E7BF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69E9217B">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501A341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07E2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exact"/>
          <w:jc w:val="center"/>
        </w:trPr>
        <w:tc>
          <w:tcPr>
            <w:tcW w:w="487" w:type="dxa"/>
            <w:noWrap w:val="0"/>
            <w:vAlign w:val="center"/>
          </w:tcPr>
          <w:p w14:paraId="1EC44D9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6</w:t>
            </w:r>
          </w:p>
        </w:tc>
        <w:tc>
          <w:tcPr>
            <w:tcW w:w="835" w:type="dxa"/>
            <w:noWrap w:val="0"/>
            <w:vAlign w:val="center"/>
          </w:tcPr>
          <w:p w14:paraId="169C02C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26506</w:t>
            </w:r>
          </w:p>
        </w:tc>
        <w:tc>
          <w:tcPr>
            <w:tcW w:w="4903" w:type="dxa"/>
            <w:noWrap w:val="0"/>
            <w:vAlign w:val="center"/>
          </w:tcPr>
          <w:p w14:paraId="66E7556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廉洁教育融入国民教育体系的理论建构</w:t>
            </w:r>
          </w:p>
          <w:p w14:paraId="31C83C0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与实践路径研究</w:t>
            </w:r>
          </w:p>
        </w:tc>
        <w:tc>
          <w:tcPr>
            <w:tcW w:w="1053" w:type="dxa"/>
            <w:noWrap w:val="0"/>
            <w:vAlign w:val="center"/>
          </w:tcPr>
          <w:p w14:paraId="0955689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周宏璐</w:t>
            </w:r>
          </w:p>
        </w:tc>
        <w:tc>
          <w:tcPr>
            <w:tcW w:w="1960" w:type="dxa"/>
            <w:noWrap w:val="0"/>
            <w:vAlign w:val="center"/>
          </w:tcPr>
          <w:p w14:paraId="59CC3D6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56CBD25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66F33FD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1953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D37A51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7</w:t>
            </w:r>
          </w:p>
        </w:tc>
        <w:tc>
          <w:tcPr>
            <w:tcW w:w="835" w:type="dxa"/>
            <w:noWrap w:val="0"/>
            <w:vAlign w:val="center"/>
          </w:tcPr>
          <w:p w14:paraId="2B7F15F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26507</w:t>
            </w:r>
          </w:p>
        </w:tc>
        <w:tc>
          <w:tcPr>
            <w:tcW w:w="4903" w:type="dxa"/>
            <w:noWrap w:val="0"/>
            <w:vAlign w:val="center"/>
          </w:tcPr>
          <w:p w14:paraId="617A5DD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增强巡视工作震慑力、穿透力、推动力的路径方法研究</w:t>
            </w:r>
          </w:p>
        </w:tc>
        <w:tc>
          <w:tcPr>
            <w:tcW w:w="1053" w:type="dxa"/>
            <w:noWrap w:val="0"/>
            <w:vAlign w:val="center"/>
          </w:tcPr>
          <w:p w14:paraId="3C14875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  雷</w:t>
            </w:r>
          </w:p>
        </w:tc>
        <w:tc>
          <w:tcPr>
            <w:tcW w:w="1960" w:type="dxa"/>
            <w:noWrap w:val="0"/>
            <w:vAlign w:val="center"/>
          </w:tcPr>
          <w:p w14:paraId="4A6A5C8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哈尔滨工业大学</w:t>
            </w:r>
          </w:p>
        </w:tc>
        <w:tc>
          <w:tcPr>
            <w:tcW w:w="749" w:type="dxa"/>
            <w:noWrap w:val="0"/>
            <w:vAlign w:val="center"/>
          </w:tcPr>
          <w:p w14:paraId="05E6E73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0AC143A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7AB2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exact"/>
          <w:jc w:val="center"/>
        </w:trPr>
        <w:tc>
          <w:tcPr>
            <w:tcW w:w="487" w:type="dxa"/>
            <w:noWrap w:val="0"/>
            <w:vAlign w:val="center"/>
          </w:tcPr>
          <w:p w14:paraId="0C7ED01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8</w:t>
            </w:r>
          </w:p>
        </w:tc>
        <w:tc>
          <w:tcPr>
            <w:tcW w:w="835" w:type="dxa"/>
            <w:noWrap w:val="0"/>
            <w:vAlign w:val="center"/>
          </w:tcPr>
          <w:p w14:paraId="4068101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26508</w:t>
            </w:r>
          </w:p>
        </w:tc>
        <w:tc>
          <w:tcPr>
            <w:tcW w:w="4903" w:type="dxa"/>
            <w:noWrap w:val="0"/>
            <w:vAlign w:val="center"/>
          </w:tcPr>
          <w:p w14:paraId="2BB9363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监察法学的内在逻辑和体系化发展路径研究</w:t>
            </w:r>
          </w:p>
        </w:tc>
        <w:tc>
          <w:tcPr>
            <w:tcW w:w="1053" w:type="dxa"/>
            <w:noWrap w:val="0"/>
            <w:vAlign w:val="center"/>
          </w:tcPr>
          <w:p w14:paraId="3DA92C4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丁  玮</w:t>
            </w:r>
          </w:p>
        </w:tc>
        <w:tc>
          <w:tcPr>
            <w:tcW w:w="1960" w:type="dxa"/>
            <w:noWrap w:val="0"/>
            <w:vAlign w:val="center"/>
          </w:tcPr>
          <w:p w14:paraId="5179DE9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哈尔滨工程大学</w:t>
            </w:r>
          </w:p>
        </w:tc>
        <w:tc>
          <w:tcPr>
            <w:tcW w:w="749" w:type="dxa"/>
            <w:noWrap w:val="0"/>
            <w:vAlign w:val="center"/>
          </w:tcPr>
          <w:p w14:paraId="676458B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7208F18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30FD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4F3F10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9</w:t>
            </w:r>
          </w:p>
        </w:tc>
        <w:tc>
          <w:tcPr>
            <w:tcW w:w="835" w:type="dxa"/>
            <w:noWrap w:val="0"/>
            <w:vAlign w:val="center"/>
          </w:tcPr>
          <w:p w14:paraId="4425B80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26509</w:t>
            </w:r>
          </w:p>
        </w:tc>
        <w:tc>
          <w:tcPr>
            <w:tcW w:w="4903" w:type="dxa"/>
            <w:noWrap w:val="0"/>
            <w:vAlign w:val="center"/>
          </w:tcPr>
          <w:p w14:paraId="7C709AB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纪检监察学科专业建设中的师资困境及其</w:t>
            </w:r>
          </w:p>
          <w:p w14:paraId="24EDD782">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破解机制研究</w:t>
            </w:r>
          </w:p>
        </w:tc>
        <w:tc>
          <w:tcPr>
            <w:tcW w:w="1053" w:type="dxa"/>
            <w:noWrap w:val="0"/>
            <w:vAlign w:val="center"/>
          </w:tcPr>
          <w:p w14:paraId="14D3886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李桂宾</w:t>
            </w:r>
          </w:p>
        </w:tc>
        <w:tc>
          <w:tcPr>
            <w:tcW w:w="1960" w:type="dxa"/>
            <w:noWrap w:val="0"/>
            <w:vAlign w:val="center"/>
          </w:tcPr>
          <w:p w14:paraId="0C0FDD3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东北林业大学</w:t>
            </w:r>
          </w:p>
        </w:tc>
        <w:tc>
          <w:tcPr>
            <w:tcW w:w="749" w:type="dxa"/>
            <w:noWrap w:val="0"/>
            <w:vAlign w:val="center"/>
          </w:tcPr>
          <w:p w14:paraId="0F2DE455">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命题</w:t>
            </w:r>
          </w:p>
          <w:p w14:paraId="3526801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ED3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9B0F28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10</w:t>
            </w:r>
          </w:p>
        </w:tc>
        <w:tc>
          <w:tcPr>
            <w:tcW w:w="835" w:type="dxa"/>
            <w:noWrap w:val="0"/>
            <w:vAlign w:val="center"/>
          </w:tcPr>
          <w:p w14:paraId="3A679E2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26510</w:t>
            </w:r>
          </w:p>
        </w:tc>
        <w:tc>
          <w:tcPr>
            <w:tcW w:w="4903" w:type="dxa"/>
            <w:noWrap w:val="0"/>
            <w:vAlign w:val="center"/>
          </w:tcPr>
          <w:p w14:paraId="08D63AF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黑龙江省纪检监察规范性文件的体系化研究</w:t>
            </w:r>
          </w:p>
        </w:tc>
        <w:tc>
          <w:tcPr>
            <w:tcW w:w="1053" w:type="dxa"/>
            <w:noWrap w:val="0"/>
            <w:vAlign w:val="center"/>
          </w:tcPr>
          <w:p w14:paraId="178A86E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曹  熹</w:t>
            </w:r>
          </w:p>
        </w:tc>
        <w:tc>
          <w:tcPr>
            <w:tcW w:w="1960" w:type="dxa"/>
            <w:noWrap w:val="0"/>
            <w:vAlign w:val="center"/>
          </w:tcPr>
          <w:p w14:paraId="3E2CC43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黑龙江省社会</w:t>
            </w:r>
          </w:p>
          <w:p w14:paraId="4019961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科学院</w:t>
            </w:r>
          </w:p>
        </w:tc>
        <w:tc>
          <w:tcPr>
            <w:tcW w:w="749" w:type="dxa"/>
            <w:noWrap w:val="0"/>
            <w:vAlign w:val="center"/>
          </w:tcPr>
          <w:p w14:paraId="1DA04AE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503ACAD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3B45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2ED38AF6">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11</w:t>
            </w:r>
          </w:p>
        </w:tc>
        <w:tc>
          <w:tcPr>
            <w:tcW w:w="835" w:type="dxa"/>
            <w:noWrap w:val="0"/>
            <w:vAlign w:val="center"/>
          </w:tcPr>
          <w:p w14:paraId="31258AA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26511</w:t>
            </w:r>
          </w:p>
        </w:tc>
        <w:tc>
          <w:tcPr>
            <w:tcW w:w="4903" w:type="dxa"/>
            <w:noWrap w:val="0"/>
            <w:vAlign w:val="center"/>
          </w:tcPr>
          <w:p w14:paraId="3EE562B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新型隐性贿赂犯罪违法所得追缴问题研究</w:t>
            </w:r>
          </w:p>
        </w:tc>
        <w:tc>
          <w:tcPr>
            <w:tcW w:w="1053" w:type="dxa"/>
            <w:noWrap w:val="0"/>
            <w:vAlign w:val="center"/>
          </w:tcPr>
          <w:p w14:paraId="00D0533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毕清辉</w:t>
            </w:r>
          </w:p>
        </w:tc>
        <w:tc>
          <w:tcPr>
            <w:tcW w:w="1960" w:type="dxa"/>
            <w:noWrap w:val="0"/>
            <w:vAlign w:val="center"/>
          </w:tcPr>
          <w:p w14:paraId="7DAA13F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齐齐哈尔大学</w:t>
            </w:r>
          </w:p>
        </w:tc>
        <w:tc>
          <w:tcPr>
            <w:tcW w:w="749" w:type="dxa"/>
            <w:noWrap w:val="0"/>
            <w:vAlign w:val="center"/>
          </w:tcPr>
          <w:p w14:paraId="6A1BDA6C">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4C44293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5851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419447F">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12</w:t>
            </w:r>
          </w:p>
        </w:tc>
        <w:tc>
          <w:tcPr>
            <w:tcW w:w="835" w:type="dxa"/>
            <w:noWrap w:val="0"/>
            <w:vAlign w:val="center"/>
          </w:tcPr>
          <w:p w14:paraId="7829DAD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26512</w:t>
            </w:r>
          </w:p>
        </w:tc>
        <w:tc>
          <w:tcPr>
            <w:tcW w:w="4903" w:type="dxa"/>
            <w:noWrap w:val="0"/>
            <w:vAlign w:val="center"/>
          </w:tcPr>
          <w:p w14:paraId="2B34293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全周期管理下黑龙江省高标准农田建设领域廉政风险的智慧监督机制研究</w:t>
            </w:r>
          </w:p>
        </w:tc>
        <w:tc>
          <w:tcPr>
            <w:tcW w:w="1053" w:type="dxa"/>
            <w:noWrap w:val="0"/>
            <w:vAlign w:val="center"/>
          </w:tcPr>
          <w:p w14:paraId="1CBEBE9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胡婷婷</w:t>
            </w:r>
          </w:p>
        </w:tc>
        <w:tc>
          <w:tcPr>
            <w:tcW w:w="1960" w:type="dxa"/>
            <w:noWrap w:val="0"/>
            <w:vAlign w:val="center"/>
          </w:tcPr>
          <w:p w14:paraId="5ACFD5D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中共绥化市委</w:t>
            </w:r>
          </w:p>
          <w:p w14:paraId="6D91463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党校</w:t>
            </w:r>
          </w:p>
        </w:tc>
        <w:tc>
          <w:tcPr>
            <w:tcW w:w="749" w:type="dxa"/>
            <w:noWrap w:val="0"/>
            <w:vAlign w:val="center"/>
          </w:tcPr>
          <w:p w14:paraId="7E05BEA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274322FD">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9DE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4F3E127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13</w:t>
            </w:r>
          </w:p>
        </w:tc>
        <w:tc>
          <w:tcPr>
            <w:tcW w:w="835" w:type="dxa"/>
            <w:noWrap w:val="0"/>
            <w:vAlign w:val="center"/>
          </w:tcPr>
          <w:p w14:paraId="4B26390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26513</w:t>
            </w:r>
          </w:p>
        </w:tc>
        <w:tc>
          <w:tcPr>
            <w:tcW w:w="4903" w:type="dxa"/>
            <w:noWrap w:val="0"/>
            <w:vAlign w:val="center"/>
          </w:tcPr>
          <w:p w14:paraId="110A56E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大数据赋能基层“微腐败”治理的逻辑理路</w:t>
            </w:r>
          </w:p>
          <w:p w14:paraId="6B25D6C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与优化路径研究</w:t>
            </w:r>
          </w:p>
        </w:tc>
        <w:tc>
          <w:tcPr>
            <w:tcW w:w="1053" w:type="dxa"/>
            <w:noWrap w:val="0"/>
            <w:vAlign w:val="center"/>
          </w:tcPr>
          <w:p w14:paraId="012FC04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龚  晓</w:t>
            </w:r>
          </w:p>
        </w:tc>
        <w:tc>
          <w:tcPr>
            <w:tcW w:w="1960" w:type="dxa"/>
            <w:noWrap w:val="0"/>
            <w:vAlign w:val="center"/>
          </w:tcPr>
          <w:p w14:paraId="12B7C51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中共黑龙江省委</w:t>
            </w:r>
          </w:p>
          <w:p w14:paraId="6B3C358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党校</w:t>
            </w:r>
          </w:p>
        </w:tc>
        <w:tc>
          <w:tcPr>
            <w:tcW w:w="749" w:type="dxa"/>
            <w:noWrap w:val="0"/>
            <w:vAlign w:val="center"/>
          </w:tcPr>
          <w:p w14:paraId="7DB23A1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1EF91AD9">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52FA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exact"/>
          <w:jc w:val="center"/>
        </w:trPr>
        <w:tc>
          <w:tcPr>
            <w:tcW w:w="487" w:type="dxa"/>
            <w:noWrap w:val="0"/>
            <w:vAlign w:val="center"/>
          </w:tcPr>
          <w:p w14:paraId="33B66A1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14</w:t>
            </w:r>
          </w:p>
        </w:tc>
        <w:tc>
          <w:tcPr>
            <w:tcW w:w="835" w:type="dxa"/>
            <w:noWrap w:val="0"/>
            <w:vAlign w:val="center"/>
          </w:tcPr>
          <w:p w14:paraId="2220405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26514</w:t>
            </w:r>
          </w:p>
        </w:tc>
        <w:tc>
          <w:tcPr>
            <w:tcW w:w="4903" w:type="dxa"/>
            <w:noWrap w:val="0"/>
            <w:vAlign w:val="center"/>
          </w:tcPr>
          <w:p w14:paraId="56376508">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反洗钱义务与监察办案协同：保险领域职务</w:t>
            </w:r>
          </w:p>
          <w:p w14:paraId="2A6750EA">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腐败线索移送机制研究</w:t>
            </w:r>
          </w:p>
        </w:tc>
        <w:tc>
          <w:tcPr>
            <w:tcW w:w="1053" w:type="dxa"/>
            <w:noWrap w:val="0"/>
            <w:vAlign w:val="center"/>
          </w:tcPr>
          <w:p w14:paraId="40C9DD5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张铁薇</w:t>
            </w:r>
          </w:p>
        </w:tc>
        <w:tc>
          <w:tcPr>
            <w:tcW w:w="1960" w:type="dxa"/>
            <w:noWrap w:val="0"/>
            <w:vAlign w:val="center"/>
          </w:tcPr>
          <w:p w14:paraId="75F96BE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3B506FE2">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38F27E65">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2048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9C5664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15</w:t>
            </w:r>
          </w:p>
        </w:tc>
        <w:tc>
          <w:tcPr>
            <w:tcW w:w="835" w:type="dxa"/>
            <w:noWrap w:val="0"/>
            <w:vAlign w:val="center"/>
          </w:tcPr>
          <w:p w14:paraId="3F69BBB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26515</w:t>
            </w:r>
          </w:p>
        </w:tc>
        <w:tc>
          <w:tcPr>
            <w:tcW w:w="4903" w:type="dxa"/>
            <w:noWrap w:val="0"/>
            <w:vAlign w:val="center"/>
          </w:tcPr>
          <w:p w14:paraId="5B090CF1">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黑龙江省纪检监察机关跨部门数据共享机制研究</w:t>
            </w:r>
          </w:p>
        </w:tc>
        <w:tc>
          <w:tcPr>
            <w:tcW w:w="1053" w:type="dxa"/>
            <w:noWrap w:val="0"/>
            <w:vAlign w:val="center"/>
          </w:tcPr>
          <w:p w14:paraId="34E8F32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王健铮</w:t>
            </w:r>
          </w:p>
        </w:tc>
        <w:tc>
          <w:tcPr>
            <w:tcW w:w="1960" w:type="dxa"/>
            <w:noWrap w:val="0"/>
            <w:vAlign w:val="center"/>
          </w:tcPr>
          <w:p w14:paraId="0EA05D99">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783BEAED">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76D5D6E">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367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3E17600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16</w:t>
            </w:r>
          </w:p>
        </w:tc>
        <w:tc>
          <w:tcPr>
            <w:tcW w:w="835" w:type="dxa"/>
            <w:noWrap w:val="0"/>
            <w:vAlign w:val="center"/>
          </w:tcPr>
          <w:p w14:paraId="5ADDA12E">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26516</w:t>
            </w:r>
          </w:p>
        </w:tc>
        <w:tc>
          <w:tcPr>
            <w:tcW w:w="4903" w:type="dxa"/>
            <w:noWrap w:val="0"/>
            <w:vAlign w:val="center"/>
          </w:tcPr>
          <w:p w14:paraId="6E359357">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医保基金数字监管与纪检监察监督衔接机制研究</w:t>
            </w:r>
          </w:p>
        </w:tc>
        <w:tc>
          <w:tcPr>
            <w:tcW w:w="1053" w:type="dxa"/>
            <w:noWrap w:val="0"/>
            <w:vAlign w:val="center"/>
          </w:tcPr>
          <w:p w14:paraId="2B04EDD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张  帆</w:t>
            </w:r>
          </w:p>
        </w:tc>
        <w:tc>
          <w:tcPr>
            <w:tcW w:w="1960" w:type="dxa"/>
            <w:noWrap w:val="0"/>
            <w:vAlign w:val="center"/>
          </w:tcPr>
          <w:p w14:paraId="3E6EBB5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哈尔滨医科大学</w:t>
            </w:r>
          </w:p>
        </w:tc>
        <w:tc>
          <w:tcPr>
            <w:tcW w:w="749" w:type="dxa"/>
            <w:noWrap w:val="0"/>
            <w:vAlign w:val="center"/>
          </w:tcPr>
          <w:p w14:paraId="134361B4">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375D3786">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07EC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0E1EF8C0">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17</w:t>
            </w:r>
          </w:p>
        </w:tc>
        <w:tc>
          <w:tcPr>
            <w:tcW w:w="835" w:type="dxa"/>
            <w:noWrap w:val="0"/>
            <w:vAlign w:val="center"/>
          </w:tcPr>
          <w:p w14:paraId="6F6ABA3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26517</w:t>
            </w:r>
          </w:p>
        </w:tc>
        <w:tc>
          <w:tcPr>
            <w:tcW w:w="4903" w:type="dxa"/>
            <w:noWrap w:val="0"/>
            <w:vAlign w:val="center"/>
          </w:tcPr>
          <w:p w14:paraId="50F8CE4F">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反腐败视域下行政检察与监察监督衔接机制研究</w:t>
            </w:r>
          </w:p>
        </w:tc>
        <w:tc>
          <w:tcPr>
            <w:tcW w:w="1053" w:type="dxa"/>
            <w:noWrap w:val="0"/>
            <w:vAlign w:val="center"/>
          </w:tcPr>
          <w:p w14:paraId="48AEEE1A">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韩子鸣</w:t>
            </w:r>
          </w:p>
        </w:tc>
        <w:tc>
          <w:tcPr>
            <w:tcW w:w="1960" w:type="dxa"/>
            <w:noWrap w:val="0"/>
            <w:vAlign w:val="center"/>
          </w:tcPr>
          <w:p w14:paraId="6C4B6E83">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哈尔滨师范大学</w:t>
            </w:r>
          </w:p>
        </w:tc>
        <w:tc>
          <w:tcPr>
            <w:tcW w:w="749" w:type="dxa"/>
            <w:noWrap w:val="0"/>
            <w:vAlign w:val="center"/>
          </w:tcPr>
          <w:p w14:paraId="6FB6ADF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1B0A670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4FF23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exact"/>
          <w:jc w:val="center"/>
        </w:trPr>
        <w:tc>
          <w:tcPr>
            <w:tcW w:w="487" w:type="dxa"/>
            <w:noWrap w:val="0"/>
            <w:vAlign w:val="center"/>
          </w:tcPr>
          <w:p w14:paraId="7D0C0C2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18</w:t>
            </w:r>
          </w:p>
        </w:tc>
        <w:tc>
          <w:tcPr>
            <w:tcW w:w="835" w:type="dxa"/>
            <w:noWrap w:val="0"/>
            <w:vAlign w:val="center"/>
          </w:tcPr>
          <w:p w14:paraId="7D2EBDBC">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26518</w:t>
            </w:r>
          </w:p>
        </w:tc>
        <w:tc>
          <w:tcPr>
            <w:tcW w:w="4903" w:type="dxa"/>
            <w:noWrap w:val="0"/>
            <w:vAlign w:val="center"/>
          </w:tcPr>
          <w:p w14:paraId="05761D5E">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数智赋能纪检监察监督的法治边界与规范</w:t>
            </w:r>
          </w:p>
          <w:p w14:paraId="691D55FB">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进路研究</w:t>
            </w:r>
          </w:p>
        </w:tc>
        <w:tc>
          <w:tcPr>
            <w:tcW w:w="1053" w:type="dxa"/>
            <w:noWrap w:val="0"/>
            <w:vAlign w:val="center"/>
          </w:tcPr>
          <w:p w14:paraId="0CF6C79D">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哈书菊</w:t>
            </w:r>
          </w:p>
        </w:tc>
        <w:tc>
          <w:tcPr>
            <w:tcW w:w="1960" w:type="dxa"/>
            <w:noWrap w:val="0"/>
            <w:vAlign w:val="center"/>
          </w:tcPr>
          <w:p w14:paraId="76D866CB">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黑龙江大学</w:t>
            </w:r>
          </w:p>
        </w:tc>
        <w:tc>
          <w:tcPr>
            <w:tcW w:w="749" w:type="dxa"/>
            <w:noWrap w:val="0"/>
            <w:vAlign w:val="center"/>
          </w:tcPr>
          <w:p w14:paraId="307700B0">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5FC6623">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771E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exact"/>
          <w:jc w:val="center"/>
        </w:trPr>
        <w:tc>
          <w:tcPr>
            <w:tcW w:w="487" w:type="dxa"/>
            <w:noWrap w:val="0"/>
            <w:vAlign w:val="center"/>
          </w:tcPr>
          <w:p w14:paraId="6BE3DE4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19</w:t>
            </w:r>
          </w:p>
        </w:tc>
        <w:tc>
          <w:tcPr>
            <w:tcW w:w="835" w:type="dxa"/>
            <w:noWrap w:val="0"/>
            <w:vAlign w:val="center"/>
          </w:tcPr>
          <w:p w14:paraId="349F2E45">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26519</w:t>
            </w:r>
          </w:p>
        </w:tc>
        <w:tc>
          <w:tcPr>
            <w:tcW w:w="4903" w:type="dxa"/>
            <w:noWrap w:val="0"/>
            <w:vAlign w:val="center"/>
          </w:tcPr>
          <w:p w14:paraId="6CAC1954">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数智转型背景下企业财务舞弊新特征与廉政风险研究</w:t>
            </w:r>
          </w:p>
        </w:tc>
        <w:tc>
          <w:tcPr>
            <w:tcW w:w="1053" w:type="dxa"/>
            <w:noWrap w:val="0"/>
            <w:vAlign w:val="center"/>
          </w:tcPr>
          <w:p w14:paraId="316F3802">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王丽丽</w:t>
            </w:r>
          </w:p>
        </w:tc>
        <w:tc>
          <w:tcPr>
            <w:tcW w:w="1960" w:type="dxa"/>
            <w:noWrap w:val="0"/>
            <w:vAlign w:val="center"/>
          </w:tcPr>
          <w:p w14:paraId="12C49C1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哈尔滨学院</w:t>
            </w:r>
          </w:p>
        </w:tc>
        <w:tc>
          <w:tcPr>
            <w:tcW w:w="749" w:type="dxa"/>
            <w:noWrap w:val="0"/>
            <w:vAlign w:val="center"/>
          </w:tcPr>
          <w:p w14:paraId="02C10ABE">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F01CADF">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r w14:paraId="1A6C5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exact"/>
          <w:jc w:val="center"/>
        </w:trPr>
        <w:tc>
          <w:tcPr>
            <w:tcW w:w="487" w:type="dxa"/>
            <w:noWrap w:val="0"/>
            <w:vAlign w:val="center"/>
          </w:tcPr>
          <w:p w14:paraId="3CA8B4D7">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20</w:t>
            </w:r>
          </w:p>
        </w:tc>
        <w:tc>
          <w:tcPr>
            <w:tcW w:w="835" w:type="dxa"/>
            <w:noWrap w:val="0"/>
            <w:vAlign w:val="center"/>
          </w:tcPr>
          <w:p w14:paraId="26FDF404">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auto"/>
                <w:kern w:val="0"/>
                <w:sz w:val="24"/>
                <w:szCs w:val="24"/>
                <w:highlight w:val="none"/>
                <w:u w:val="none"/>
                <w:lang w:val="en-US" w:eastAsia="zh-CN" w:bidi="ar"/>
              </w:rPr>
              <w:t>26520</w:t>
            </w:r>
          </w:p>
        </w:tc>
        <w:tc>
          <w:tcPr>
            <w:tcW w:w="4903" w:type="dxa"/>
            <w:noWrap w:val="0"/>
            <w:vAlign w:val="center"/>
          </w:tcPr>
          <w:p w14:paraId="616CD03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000000"/>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数智技术赋能黑龙江省国有制造企业廉洁</w:t>
            </w:r>
          </w:p>
          <w:p w14:paraId="4B38C165">
            <w:pPr>
              <w:keepNext w:val="0"/>
              <w:keepLines w:val="0"/>
              <w:pageBreakBefore w:val="0"/>
              <w:widowControl/>
              <w:suppressLineNumbers w:val="0"/>
              <w:kinsoku/>
              <w:wordWrap/>
              <w:overflowPunct/>
              <w:topLinePunct w:val="0"/>
              <w:autoSpaceDE/>
              <w:bidi w:val="0"/>
              <w:adjustRightInd/>
              <w:snapToGrid/>
              <w:spacing w:line="300" w:lineRule="exact"/>
              <w:jc w:val="left"/>
              <w:textAlignment w:val="center"/>
              <w:rPr>
                <w:rFonts w:hint="eastAsia" w:ascii="Times New Roman" w:hAnsi="Times New Roman" w:eastAsia="仿宋" w:cs="Times New Roman"/>
                <w:b w:val="0"/>
                <w:bCs w:val="0"/>
                <w:i w:val="0"/>
                <w:iCs w:val="0"/>
                <w:color w:val="auto"/>
                <w:kern w:val="0"/>
                <w:sz w:val="24"/>
                <w:szCs w:val="24"/>
                <w:highlight w:val="none"/>
                <w:u w:val="none"/>
                <w:lang w:val="en-US" w:eastAsia="zh-CN" w:bidi="ar"/>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风险识别与精准监督策略研究</w:t>
            </w:r>
          </w:p>
        </w:tc>
        <w:tc>
          <w:tcPr>
            <w:tcW w:w="1053" w:type="dxa"/>
            <w:noWrap w:val="0"/>
            <w:vAlign w:val="center"/>
          </w:tcPr>
          <w:p w14:paraId="3A91F941">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宫婷婷</w:t>
            </w:r>
          </w:p>
        </w:tc>
        <w:tc>
          <w:tcPr>
            <w:tcW w:w="1960" w:type="dxa"/>
            <w:noWrap w:val="0"/>
            <w:vAlign w:val="center"/>
          </w:tcPr>
          <w:p w14:paraId="25ED51C8">
            <w:pPr>
              <w:keepNext w:val="0"/>
              <w:keepLines w:val="0"/>
              <w:pageBreakBefore w:val="0"/>
              <w:widowControl/>
              <w:suppressLineNumbers w:val="0"/>
              <w:kinsoku/>
              <w:wordWrap/>
              <w:overflowPunct/>
              <w:topLinePunct w:val="0"/>
              <w:autoSpaceDE/>
              <w:bidi w:val="0"/>
              <w:adjustRightInd/>
              <w:snapToGrid/>
              <w:spacing w:line="300" w:lineRule="exact"/>
              <w:jc w:val="center"/>
              <w:textAlignment w:val="center"/>
              <w:rPr>
                <w:rFonts w:hint="eastAsia" w:ascii="Times New Roman" w:hAnsi="Times New Roman" w:eastAsia="仿宋" w:cs="Times New Roman"/>
                <w:b w:val="0"/>
                <w:bCs w:val="0"/>
                <w:color w:val="auto"/>
                <w:kern w:val="0"/>
                <w:sz w:val="24"/>
                <w:szCs w:val="24"/>
                <w:highlight w:val="none"/>
                <w:vertAlign w:val="baseline"/>
              </w:rPr>
            </w:pPr>
            <w:r>
              <w:rPr>
                <w:rFonts w:hint="eastAsia" w:ascii="Times New Roman" w:hAnsi="Times New Roman" w:eastAsia="仿宋" w:cs="Times New Roman"/>
                <w:b w:val="0"/>
                <w:bCs w:val="0"/>
                <w:i w:val="0"/>
                <w:iCs w:val="0"/>
                <w:color w:val="000000"/>
                <w:kern w:val="0"/>
                <w:sz w:val="24"/>
                <w:szCs w:val="24"/>
                <w:highlight w:val="none"/>
                <w:u w:val="none"/>
                <w:lang w:val="en-US" w:eastAsia="zh-CN" w:bidi="ar"/>
              </w:rPr>
              <w:t>哈尔滨商业大学</w:t>
            </w:r>
          </w:p>
        </w:tc>
        <w:tc>
          <w:tcPr>
            <w:tcW w:w="749" w:type="dxa"/>
            <w:noWrap w:val="0"/>
            <w:vAlign w:val="center"/>
          </w:tcPr>
          <w:p w14:paraId="4041EE37">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自主</w:t>
            </w:r>
          </w:p>
          <w:p w14:paraId="732EAE71">
            <w:pPr>
              <w:keepNext w:val="0"/>
              <w:keepLines w:val="0"/>
              <w:pageBreakBefore w:val="0"/>
              <w:widowControl w:val="0"/>
              <w:kinsoku/>
              <w:wordWrap/>
              <w:overflowPunct/>
              <w:topLinePunct w:val="0"/>
              <w:autoSpaceDE/>
              <w:autoSpaceDN w:val="0"/>
              <w:bidi w:val="0"/>
              <w:adjustRightInd/>
              <w:snapToGrid/>
              <w:spacing w:line="300" w:lineRule="exact"/>
              <w:jc w:val="center"/>
              <w:textAlignment w:val="auto"/>
              <w:rPr>
                <w:rFonts w:hint="eastAsia" w:ascii="Times New Roman" w:hAnsi="Times New Roman" w:eastAsia="仿宋" w:cs="Times New Roman"/>
                <w:b w:val="0"/>
                <w:bCs w:val="0"/>
                <w:color w:val="auto"/>
                <w:kern w:val="0"/>
                <w:sz w:val="24"/>
                <w:szCs w:val="24"/>
                <w:highlight w:val="none"/>
                <w:vertAlign w:val="baseline"/>
                <w:lang w:val="en-US" w:eastAsia="zh-CN"/>
              </w:rPr>
            </w:pPr>
            <w:r>
              <w:rPr>
                <w:rFonts w:hint="eastAsia" w:ascii="Times New Roman" w:hAnsi="Times New Roman" w:eastAsia="仿宋" w:cs="Times New Roman"/>
                <w:b w:val="0"/>
                <w:bCs w:val="0"/>
                <w:color w:val="auto"/>
                <w:kern w:val="0"/>
                <w:sz w:val="24"/>
                <w:szCs w:val="24"/>
                <w:highlight w:val="none"/>
                <w:vertAlign w:val="baseline"/>
                <w:lang w:val="en-US" w:eastAsia="zh-CN"/>
              </w:rPr>
              <w:t>申报</w:t>
            </w:r>
          </w:p>
        </w:tc>
      </w:tr>
    </w:tbl>
    <w:p w14:paraId="16C61B4F">
      <w:pPr>
        <w:pStyle w:val="9"/>
        <w:rPr>
          <w:rFonts w:hint="eastAsia" w:ascii="Times New Roman" w:hAnsi="Times New Roman"/>
          <w:lang w:val="en-US" w:eastAsia="zh-CN"/>
        </w:rPr>
      </w:pPr>
    </w:p>
    <w:sectPr>
      <w:headerReference r:id="rId4" w:type="first"/>
      <w:footerReference r:id="rId6" w:type="first"/>
      <w:headerReference r:id="rId3" w:type="default"/>
      <w:footerReference r:id="rId5" w:type="default"/>
      <w:pgSz w:w="11906" w:h="16838"/>
      <w:pgMar w:top="2098" w:right="1417" w:bottom="1984" w:left="1417" w:header="851" w:footer="992" w:gutter="0"/>
      <w:paperSrc/>
      <w:pgBorders>
        <w:top w:val="none" w:sz="0" w:space="0"/>
        <w:left w:val="none" w:sz="0" w:space="0"/>
        <w:bottom w:val="none" w:sz="0" w:space="0"/>
        <w:right w:val="none" w:sz="0" w:space="0"/>
      </w:pgBorders>
      <w:pgNumType w:fmt="numberInDash" w:start="1"/>
      <w:cols w:space="72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027CA1-CC34-493E-B536-303991BD7C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25267E6-957E-4855-A974-615126A7EB99}"/>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embedRegular r:id="rId3" w:fontKey="{78CAE575-B874-4BB9-B26E-42A6C969E193}"/>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embedRegular r:id="rId4" w:fontKey="{1FF2C0AA-507E-48DC-9BDE-E2FF20D77295}"/>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20500">
    <w:pPr>
      <w:pStyle w:val="13"/>
    </w:pPr>
    <w:r>
      <w:rPr>
        <w:rFonts w:ascii="Calibri" w:hAnsi="Calibri" w:cs="宋体"/>
        <w:szCs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-42545</wp:posOffset>
              </wp:positionV>
              <wp:extent cx="295910" cy="204470"/>
              <wp:effectExtent l="0" t="0" r="0" b="0"/>
              <wp:wrapNone/>
              <wp:docPr id="1" name="文本框 1"/>
              <wp:cNvGraphicFramePr/>
              <a:graphic xmlns:a="http://schemas.openxmlformats.org/drawingml/2006/main">
                <a:graphicData uri="http://schemas.microsoft.com/office/word/2010/wordprocessingShape">
                  <wps:wsp>
                    <wps:cNvSpPr/>
                    <wps:spPr>
                      <a:xfrm>
                        <a:off x="0" y="0"/>
                        <a:ext cx="295910" cy="204470"/>
                      </a:xfrm>
                      <a:prstGeom prst="rect">
                        <a:avLst/>
                      </a:prstGeom>
                      <a:noFill/>
                      <a:ln>
                        <a:noFill/>
                      </a:ln>
                    </wps:spPr>
                    <wps:txbx>
                      <w:txbxContent>
                        <w:p w14:paraId="1869AE42">
                          <w:pPr>
                            <w:pStyle w:val="13"/>
                          </w:pPr>
                          <w:r>
                            <w:rPr>
                              <w:sz w:val="28"/>
                              <w:szCs w:val="28"/>
                            </w:rPr>
                            <w:fldChar w:fldCharType="begin"/>
                          </w:r>
                          <w:r>
                            <w:rPr>
                              <w:sz w:val="28"/>
                              <w:szCs w:val="28"/>
                            </w:rPr>
                            <w:instrText xml:space="preserve"> PAGE  \* MERGEFORMAT </w:instrText>
                          </w:r>
                          <w:r>
                            <w:rPr>
                              <w:sz w:val="28"/>
                              <w:szCs w:val="28"/>
                            </w:rPr>
                            <w:fldChar w:fldCharType="separate"/>
                          </w:r>
                          <w:r>
                            <w:t>- 2 -</w:t>
                          </w:r>
                          <w:r>
                            <w:rPr>
                              <w:sz w:val="28"/>
                              <w:szCs w:val="28"/>
                            </w:rPr>
                            <w:fldChar w:fldCharType="end"/>
                          </w:r>
                        </w:p>
                      </w:txbxContent>
                    </wps:txbx>
                    <wps:bodyPr wrap="none" lIns="0" tIns="0" rIns="0" bIns="0" upright="1">
                      <a:spAutoFit/>
                    </wps:bodyPr>
                  </wps:wsp>
                </a:graphicData>
              </a:graphic>
            </wp:anchor>
          </w:drawing>
        </mc:Choice>
        <mc:Fallback>
          <w:pict>
            <v:rect id="文本框 1" o:spid="_x0000_s1026" o:spt="1" style="position:absolute;left:0pt;margin-top:-3.35pt;height:16.1pt;width:23.3pt;mso-position-horizontal:outside;mso-position-horizontal-relative:margin;mso-wrap-style:none;z-index:251659264;mso-width-relative:page;mso-height-relative:page;" filled="f" stroked="f" coordsize="21600,21600" o:gfxdata="UEsDBAoAAAAAAIdO4kAAAAAAAAAAAAAAAAAEAAAAZHJzL1BLAwQUAAAACACHTuJARZBFq9QAAAAF&#10;AQAADwAAAGRycy9kb3ducmV2LnhtbE2PzU7DMBCE70i8g7WVuLV2IxqqkE0PSJUAcWnaB3DjzY9q&#10;r6PYbcrbY05wHM1o5ptyd3dW3GgKg2eE9UqBIG68GbhDOB33yy2IEDUbbT0TwjcF2FWPD6UujJ/5&#10;QLc6diKVcCg0Qh/jWEgZmp6cDis/Eiev9ZPTMcmpk2bScyp3VmZK5dLpgdNCr0d666m51FeHII/1&#10;ft7WdlL+M2u/7Mf7oSWP+LRYq1cQke7xLwy/+AkdqsR09lc2QViEdCQiLPMXEMl9znMQZ4RsswFZ&#10;lfI/ffUDUEsDBBQAAAAIAIdO4kAtv5Z0xwEAAI0DAAAOAAAAZHJzL2Uyb0RvYy54bWytU0uO00AQ&#10;3SNxh1bvie1o+IwVZ4QUDUJCMNLAATrtdtxS/1TViZ0LwA1YsWHPuXIOqttOBobNLNjY1dXlV++9&#10;Kq9uRmvYQQFq7xpeLUrOlJO+1W7X8C+fb1+84QyjcK0w3qmGHxXym/XzZ6sh1Grpe29aBYxAHNZD&#10;aHgfY6iLAmWvrMCFD8rRZefBikhH2BUtiIHQrSmWZfmqGDy0AbxUiJTdTJd8RoSnAPqu01JtvNxb&#10;5eKECsqISJKw1wH5OrPtOiXjp65DFZlpOCmN+UlNKN6mZ7FeiXoHIvRazhTEUyg80mSFdtT0ArUR&#10;UbA96H+grJbg0XdxIb0tJiHZEVJRlY+8ue9FUFkLWY3hYjr+P1j58XAHTLe0CZw5YWngp+/fTj9+&#10;nX5+ZVWyZwhYU9V9uIP5hBQmrWMHNr1JBRuzpceLpWqMTFJyef3yuiKzJV0ty6ur19ny4uHjABjf&#10;KW9ZChoONLFspDh8wEgNqfRckno5f6uNyVMz7q8EFaZMkfhODFMUx+0409769khaBxp2wx3tNmfm&#10;vSMv016cAzgH23OwD6B3PVGrMi8Mb/eRSGRuqcMEOzemKWXK80alNfjznKse/qL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EWQRavUAAAABQEAAA8AAAAAAAAAAQAgAAAAIgAAAGRycy9kb3ducmV2&#10;LnhtbFBLAQIUABQAAAAIAIdO4kAtv5Z0xwEAAI0DAAAOAAAAAAAAAAEAIAAAACMBAABkcnMvZTJv&#10;RG9jLnhtbFBLBQYAAAAABgAGAFkBAABcBQAAAAA=&#10;">
              <v:fill on="f" focussize="0,0"/>
              <v:stroke on="f"/>
              <v:imagedata o:title=""/>
              <o:lock v:ext="edit" aspectratio="f"/>
              <v:textbox inset="0mm,0mm,0mm,0mm" style="mso-fit-shape-to-text:t;">
                <w:txbxContent>
                  <w:p w14:paraId="1869AE42">
                    <w:pPr>
                      <w:pStyle w:val="13"/>
                    </w:pPr>
                    <w:r>
                      <w:rPr>
                        <w:sz w:val="28"/>
                        <w:szCs w:val="28"/>
                      </w:rPr>
                      <w:fldChar w:fldCharType="begin"/>
                    </w:r>
                    <w:r>
                      <w:rPr>
                        <w:sz w:val="28"/>
                        <w:szCs w:val="28"/>
                      </w:rPr>
                      <w:instrText xml:space="preserve"> PAGE  \* MERGEFORMAT </w:instrText>
                    </w:r>
                    <w:r>
                      <w:rPr>
                        <w:sz w:val="28"/>
                        <w:szCs w:val="28"/>
                      </w:rPr>
                      <w:fldChar w:fldCharType="separate"/>
                    </w:r>
                    <w:r>
                      <w:t>- 2 -</w:t>
                    </w:r>
                    <w:r>
                      <w:rPr>
                        <w:sz w:val="28"/>
                        <w:szCs w:val="2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44E9">
    <w:pPr>
      <w:pStyle w:val="1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-63500</wp:posOffset>
              </wp:positionV>
              <wp:extent cx="295910" cy="20447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295910" cy="204470"/>
                      </a:xfrm>
                      <a:prstGeom prst="rect">
                        <a:avLst/>
                      </a:prstGeom>
                      <a:noFill/>
                      <a:ln>
                        <a:noFill/>
                      </a:ln>
                    </wps:spPr>
                    <wps:txbx>
                      <w:txbxContent>
                        <w:p w14:paraId="6062F323">
                          <w:pPr>
                            <w:snapToGrid w:val="0"/>
                            <w:rPr>
                              <w:rFonts w:hint="eastAsia"/>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- 1 -</w:t>
                          </w:r>
                          <w:r>
                            <w:rPr>
                              <w:rFonts w:hint="eastAsia"/>
                              <w:sz w:val="28"/>
                              <w:szCs w:val="28"/>
                            </w:rP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5pt;height:16.1pt;width:23.3pt;mso-position-horizontal:outside;mso-position-horizontal-relative:margin;mso-wrap-style:none;z-index:251660288;mso-width-relative:page;mso-height-relative:page;" filled="f" stroked="f" coordsize="21600,21600" o:gfxdata="UEsDBAoAAAAAAIdO4kAAAAAAAAAAAAAAAAAEAAAAZHJzL1BLAwQUAAAACACHTuJAhQKuptMAAAAG&#10;AQAADwAAAGRycy9kb3ducmV2LnhtbE2PwU7DMBBE70j8g7VI3Fo7EQpVmk0PlbhwoyAkbm68jSPi&#10;dWS7afL3mBPcdjSjmbfNYXGjmCnEwTNCsVUgiDtvBu4RPt5fNjsQMWk2evRMCCtFOLT3d42ujb/x&#10;G82n1ItcwrHWCDalqZYydpacjls/EWfv4oPTKcvQSxP0LZe7UZZKVdLpgfOC1RMdLXXfp6tDeF4+&#10;PU2RjvR1mbtgh3U3vq6Ijw+F2oNItKS/MPziZ3RoM9PZX9lEMSLkRxLCplD5yPZTVYE4I5RlCbJt&#10;5H/89gdQSwMEFAAAAAgAh07iQIj//3XPAQAAmAMAAA4AAABkcnMvZTJvRG9jLnhtbK1TS47TQBDd&#10;I3GHVu+JHSt8xoozAkWDkBAgDRyg0+6OW+qfujqxcwG4ASs27DlXzkF1284wM5tZsHHKVZVX770q&#10;r68Ho8lRBFDONnS5KCkRlrtW2X1Dv329efGGEojMtkw7Kxp6EkCvN8+frXtfi8p1TrciEASxUPe+&#10;oV2Mvi4K4J0wDBbOC4tF6YJhEV/DvmgD6xHd6KIqy1dF70Lrg+MCALPbsUgnxPAUQCel4mLr+MEI&#10;G0fUIDSLKAk65YFuMlspBY+fpQQRiW4oKo35iUMw3qVnsVmzeh+Y7xSfKLCnUHigyTBlcegFassi&#10;I4egHkEZxYMDJ+OCO1OMQrIjqGJZPvDmtmNeZC1oNfiL6fD/YPmn45dAVNvQihLLDC78/PPH+def&#10;8+/vZLlK/vQeamy79dgYh3duwKuZ84DJJHuQwaRfFESwju6eLu6KIRKOyerq5dUSKxxLVblavc7u&#10;F3d/9gHie+EMSUFDAy4ve8qOHyEiEWydW9Is626U1nmB2t5LYGPKFIn5yDBFcdgNk5yda0+opse9&#10;N9TimVOiP1i0NZ3IHIQ52M3BwQe17/INpXng3x4iksjc0oQRdhqMC8uUp+NKF/Hve+66+6A2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FAq6m0wAAAAYBAAAPAAAAAAAAAAEAIAAAACIAAABkcnMv&#10;ZG93bnJldi54bWxQSwECFAAUAAAACACHTuJAiP//dc8BAACYAwAADgAAAAAAAAABACAAAAAiAQAA&#10;ZHJzL2Uyb0RvYy54bWxQSwUGAAAAAAYABgBZAQAAYwUAAAAA&#10;">
              <v:fill on="f" focussize="0,0"/>
              <v:stroke on="f"/>
              <v:imagedata o:title=""/>
              <o:lock v:ext="edit" aspectratio="f"/>
              <v:textbox inset="0mm,0mm,0mm,0mm" style="mso-fit-shape-to-text:t;">
                <w:txbxContent>
                  <w:p w14:paraId="6062F323">
                    <w:pPr>
                      <w:snapToGrid w:val="0"/>
                      <w:rPr>
                        <w:rFonts w:hint="eastAsia"/>
                        <w:sz w:val="1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t>- 1 -</w:t>
                    </w:r>
                    <w:r>
                      <w:rPr>
                        <w:rFonts w:hint="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7E32E">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FEF51">
    <w:pPr>
      <w:pStyle w:val="1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9"/>
  <w:displayHorizontalDrawingGridEvery w:val="2"/>
  <w:displayVerticalDrawingGridEvery w:val="2"/>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406CB5"/>
    <w:rsid w:val="009069FD"/>
    <w:rsid w:val="0E8D5878"/>
    <w:rsid w:val="12A771A7"/>
    <w:rsid w:val="1674522B"/>
    <w:rsid w:val="1A254DE2"/>
    <w:rsid w:val="1C990E53"/>
    <w:rsid w:val="20355800"/>
    <w:rsid w:val="26861E63"/>
    <w:rsid w:val="286E4D4F"/>
    <w:rsid w:val="28EE4E20"/>
    <w:rsid w:val="29E97D38"/>
    <w:rsid w:val="2CB35427"/>
    <w:rsid w:val="2E652751"/>
    <w:rsid w:val="2FC32F68"/>
    <w:rsid w:val="2FED8D4E"/>
    <w:rsid w:val="30234671"/>
    <w:rsid w:val="305C1E60"/>
    <w:rsid w:val="3C5F1DD5"/>
    <w:rsid w:val="3CFF5E10"/>
    <w:rsid w:val="3F6785CD"/>
    <w:rsid w:val="3F9AB322"/>
    <w:rsid w:val="3FDFC953"/>
    <w:rsid w:val="5774613E"/>
    <w:rsid w:val="598D7571"/>
    <w:rsid w:val="599C3BB9"/>
    <w:rsid w:val="59CF41B6"/>
    <w:rsid w:val="5A9B1124"/>
    <w:rsid w:val="5BEF255E"/>
    <w:rsid w:val="5D0B04F4"/>
    <w:rsid w:val="5DEF57B8"/>
    <w:rsid w:val="5F3FA127"/>
    <w:rsid w:val="5FFD080C"/>
    <w:rsid w:val="602E58EA"/>
    <w:rsid w:val="619A682E"/>
    <w:rsid w:val="67FDA403"/>
    <w:rsid w:val="69140665"/>
    <w:rsid w:val="6ACC0544"/>
    <w:rsid w:val="6CF9371E"/>
    <w:rsid w:val="6EE3FBA8"/>
    <w:rsid w:val="6F5F4BB0"/>
    <w:rsid w:val="727B99D4"/>
    <w:rsid w:val="7733F4AD"/>
    <w:rsid w:val="77BE94E1"/>
    <w:rsid w:val="77CF922B"/>
    <w:rsid w:val="77FA31B6"/>
    <w:rsid w:val="7EF1F118"/>
    <w:rsid w:val="7F3735A7"/>
    <w:rsid w:val="7F3F3883"/>
    <w:rsid w:val="7FE89D10"/>
    <w:rsid w:val="9FF8DD50"/>
    <w:rsid w:val="ADEDEA24"/>
    <w:rsid w:val="BF0FAEF3"/>
    <w:rsid w:val="BFBFADCA"/>
    <w:rsid w:val="DBE7FB2B"/>
    <w:rsid w:val="DDC7D46E"/>
    <w:rsid w:val="DDDEB9F0"/>
    <w:rsid w:val="E7FD65E7"/>
    <w:rsid w:val="EBFFC72B"/>
    <w:rsid w:val="ECF449E6"/>
    <w:rsid w:val="EFBE9DAD"/>
    <w:rsid w:val="F17B8928"/>
    <w:rsid w:val="F5BBFA5F"/>
    <w:rsid w:val="FBD916F0"/>
    <w:rsid w:val="FBE46B7A"/>
    <w:rsid w:val="FDDBC545"/>
    <w:rsid w:val="FEEED72B"/>
    <w:rsid w:val="FFE24F69"/>
    <w:rsid w:val="FFF9B78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ocked="1"/>
    <w:lsdException w:qFormat="1" w:uiPriority="0" w:semiHidden="0" w:name="heading 2" w:locked="1"/>
    <w:lsdException w:qFormat="1"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cs="Calibri"/>
      <w:kern w:val="2"/>
      <w:sz w:val="21"/>
      <w:szCs w:val="21"/>
      <w:lang w:val="en-US" w:eastAsia="zh-CN" w:bidi="ar-SA"/>
    </w:rPr>
  </w:style>
  <w:style w:type="paragraph" w:styleId="2">
    <w:name w:val="heading 1"/>
    <w:basedOn w:val="1"/>
    <w:next w:val="1"/>
    <w:locked/>
    <w:uiPriority w:val="0"/>
    <w:pPr>
      <w:spacing w:before="100" w:beforeLines="0" w:beforeAutospacing="1" w:after="100" w:afterLines="0" w:afterAutospacing="1"/>
      <w:jc w:val="left"/>
      <w:outlineLvl w:val="0"/>
    </w:pPr>
    <w:rPr>
      <w:rFonts w:hint="eastAsia" w:ascii="宋体" w:hAnsi="宋体"/>
      <w:b/>
      <w:kern w:val="44"/>
      <w:sz w:val="48"/>
      <w:szCs w:val="48"/>
    </w:rPr>
  </w:style>
  <w:style w:type="paragraph" w:styleId="3">
    <w:name w:val="heading 2"/>
    <w:basedOn w:val="1"/>
    <w:next w:val="1"/>
    <w:unhideWhenUsed/>
    <w:qFormat/>
    <w:locked/>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4">
    <w:name w:val="heading 3"/>
    <w:basedOn w:val="1"/>
    <w:next w:val="1"/>
    <w:qFormat/>
    <w:locked/>
    <w:uiPriority w:val="0"/>
    <w:pPr>
      <w:keepNext/>
      <w:keepLines/>
      <w:spacing w:before="260" w:beforeLines="0" w:after="260" w:afterLines="0" w:line="416" w:lineRule="auto"/>
      <w:outlineLvl w:val="2"/>
    </w:pPr>
    <w:rPr>
      <w:b/>
      <w:bCs/>
      <w:sz w:val="32"/>
      <w:szCs w:val="32"/>
    </w:rPr>
  </w:style>
  <w:style w:type="character" w:default="1" w:styleId="20">
    <w:name w:val="Default Paragraph Font"/>
    <w:link w:val="21"/>
    <w:semiHidden/>
    <w:uiPriority w:val="0"/>
    <w:rPr>
      <w:rFonts w:ascii="仿宋_GB2312" w:eastAsia="仿宋_GB2312"/>
      <w:b/>
      <w:sz w:val="32"/>
      <w:szCs w:val="32"/>
    </w:rPr>
  </w:style>
  <w:style w:type="table" w:default="1" w:styleId="18">
    <w:name w:val="Normal Table"/>
    <w:unhideWhenUsed/>
    <w:uiPriority w:val="99"/>
    <w:tblPr>
      <w:tblStyle w:val="18"/>
      <w:tblCellMar>
        <w:top w:w="0" w:type="dxa"/>
        <w:left w:w="108" w:type="dxa"/>
        <w:bottom w:w="0" w:type="dxa"/>
        <w:right w:w="108" w:type="dxa"/>
      </w:tblCellMar>
    </w:tblPr>
  </w:style>
  <w:style w:type="paragraph" w:styleId="5">
    <w:name w:val="table of authorities"/>
    <w:basedOn w:val="1"/>
    <w:next w:val="1"/>
    <w:uiPriority w:val="0"/>
    <w:pPr>
      <w:ind w:left="420" w:leftChars="200"/>
    </w:pPr>
  </w:style>
  <w:style w:type="paragraph" w:styleId="6">
    <w:name w:val="annotation text"/>
    <w:basedOn w:val="1"/>
    <w:uiPriority w:val="0"/>
    <w:pPr>
      <w:jc w:val="left"/>
    </w:pPr>
  </w:style>
  <w:style w:type="paragraph" w:styleId="7">
    <w:name w:val="Salutation"/>
    <w:basedOn w:val="1"/>
    <w:next w:val="1"/>
    <w:uiPriority w:val="0"/>
    <w:rPr>
      <w:rFonts w:ascii="Calibri" w:hAnsi="Calibri"/>
    </w:rPr>
  </w:style>
  <w:style w:type="paragraph" w:styleId="8">
    <w:name w:val="Body Text"/>
    <w:basedOn w:val="1"/>
    <w:next w:val="9"/>
    <w:uiPriority w:val="0"/>
    <w:pPr>
      <w:spacing w:line="500" w:lineRule="exact"/>
    </w:pPr>
    <w:rPr>
      <w:rFonts w:eastAsia="仿宋_GB2312"/>
      <w:sz w:val="28"/>
      <w:szCs w:val="28"/>
    </w:rPr>
  </w:style>
  <w:style w:type="paragraph" w:customStyle="1" w:styleId="9">
    <w:name w:val="正文文本 21"/>
    <w:basedOn w:val="1"/>
    <w:qFormat/>
    <w:uiPriority w:val="0"/>
    <w:pPr>
      <w:spacing w:line="480" w:lineRule="auto"/>
    </w:pPr>
  </w:style>
  <w:style w:type="paragraph" w:styleId="10">
    <w:name w:val="Body Text Indent"/>
    <w:basedOn w:val="1"/>
    <w:qFormat/>
    <w:uiPriority w:val="0"/>
    <w:pPr>
      <w:widowControl/>
      <w:overflowPunct w:val="0"/>
      <w:autoSpaceDE w:val="0"/>
      <w:autoSpaceDN w:val="0"/>
      <w:adjustRightInd w:val="0"/>
      <w:spacing w:before="120" w:beforeLines="0" w:line="540" w:lineRule="exact"/>
      <w:ind w:firstLine="600" w:firstLineChars="200"/>
    </w:pPr>
    <w:rPr>
      <w:rFonts w:ascii="仿宋_GB2312" w:eastAsia="仿宋_GB2312"/>
      <w:kern w:val="0"/>
      <w:sz w:val="30"/>
      <w:szCs w:val="20"/>
    </w:rPr>
  </w:style>
  <w:style w:type="paragraph" w:styleId="11">
    <w:name w:val="Date"/>
    <w:basedOn w:val="1"/>
    <w:next w:val="1"/>
    <w:link w:val="25"/>
    <w:semiHidden/>
    <w:uiPriority w:val="0"/>
    <w:pPr>
      <w:ind w:left="100" w:leftChars="2500"/>
    </w:pPr>
  </w:style>
  <w:style w:type="paragraph" w:styleId="12">
    <w:name w:val="Balloon Text"/>
    <w:basedOn w:val="1"/>
    <w:link w:val="26"/>
    <w:semiHidden/>
    <w:uiPriority w:val="0"/>
    <w:rPr>
      <w:sz w:val="18"/>
      <w:szCs w:val="18"/>
    </w:rPr>
  </w:style>
  <w:style w:type="paragraph" w:styleId="13">
    <w:name w:val="footer"/>
    <w:basedOn w:val="1"/>
    <w:link w:val="27"/>
    <w:uiPriority w:val="0"/>
    <w:pPr>
      <w:tabs>
        <w:tab w:val="center" w:pos="4153"/>
        <w:tab w:val="right" w:pos="8306"/>
      </w:tabs>
      <w:snapToGrid w:val="0"/>
      <w:jc w:val="left"/>
    </w:pPr>
    <w:rPr>
      <w:sz w:val="18"/>
      <w:szCs w:val="18"/>
    </w:rPr>
  </w:style>
  <w:style w:type="paragraph" w:styleId="14">
    <w:name w:val="header"/>
    <w:basedOn w:val="1"/>
    <w:link w:val="28"/>
    <w:uiPriority w:val="0"/>
    <w:pPr>
      <w:pBdr>
        <w:bottom w:val="single" w:color="auto" w:sz="6" w:space="1"/>
      </w:pBdr>
      <w:tabs>
        <w:tab w:val="center" w:pos="4153"/>
        <w:tab w:val="right" w:pos="8306"/>
      </w:tabs>
      <w:snapToGrid w:val="0"/>
      <w:jc w:val="center"/>
    </w:pPr>
    <w:rPr>
      <w:sz w:val="18"/>
      <w:szCs w:val="18"/>
    </w:rPr>
  </w:style>
  <w:style w:type="paragraph" w:styleId="15">
    <w:name w:val="footnote text"/>
    <w:basedOn w:val="1"/>
    <w:uiPriority w:val="0"/>
    <w:pPr>
      <w:snapToGrid w:val="0"/>
      <w:jc w:val="left"/>
    </w:pPr>
    <w:rPr>
      <w:sz w:val="18"/>
      <w:szCs w:val="18"/>
    </w:rPr>
  </w:style>
  <w:style w:type="paragraph" w:styleId="16">
    <w:name w:val="Message Header"/>
    <w:basedOn w:val="1"/>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17">
    <w:name w:val="Normal (Web)"/>
    <w:basedOn w:val="1"/>
    <w:uiPriority w:val="0"/>
    <w:pPr>
      <w:widowControl/>
      <w:spacing w:before="100" w:beforeLines="0" w:beforeAutospacing="1" w:after="100" w:afterLines="0" w:afterAutospacing="1"/>
      <w:jc w:val="left"/>
    </w:pPr>
    <w:rPr>
      <w:rFonts w:ascii="宋体" w:hAnsi="宋体" w:eastAsia="宋体" w:cs="宋体"/>
      <w:kern w:val="0"/>
      <w:sz w:val="24"/>
      <w:szCs w:val="24"/>
    </w:rPr>
  </w:style>
  <w:style w:type="table" w:styleId="19">
    <w:name w:val="Table Grid"/>
    <w:basedOn w:val="18"/>
    <w:qFormat/>
    <w:uiPriority w:val="0"/>
    <w:pPr>
      <w:widowControl w:val="0"/>
      <w:jc w:val="both"/>
    </w:pPr>
    <w:tblPr>
      <w:tblStyle w:val="1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 Char1"/>
    <w:basedOn w:val="1"/>
    <w:link w:val="20"/>
    <w:uiPriority w:val="0"/>
    <w:rPr>
      <w:rFonts w:ascii="仿宋_GB2312" w:eastAsia="仿宋_GB2312"/>
      <w:b/>
      <w:sz w:val="32"/>
      <w:szCs w:val="32"/>
    </w:rPr>
  </w:style>
  <w:style w:type="character" w:styleId="22">
    <w:name w:val="Strong"/>
    <w:basedOn w:val="20"/>
    <w:locked/>
    <w:uiPriority w:val="0"/>
    <w:rPr>
      <w:bCs/>
    </w:rPr>
  </w:style>
  <w:style w:type="character" w:styleId="23">
    <w:name w:val="page number"/>
    <w:basedOn w:val="20"/>
    <w:uiPriority w:val="0"/>
    <w:rPr>
      <w:rFonts w:cs="Times New Roman"/>
    </w:rPr>
  </w:style>
  <w:style w:type="character" w:styleId="24">
    <w:name w:val="Hyperlink"/>
    <w:basedOn w:val="20"/>
    <w:uiPriority w:val="0"/>
    <w:rPr>
      <w:rFonts w:cs="Times New Roman"/>
      <w:color w:val="auto"/>
      <w:u w:val="single"/>
    </w:rPr>
  </w:style>
  <w:style w:type="character" w:customStyle="1" w:styleId="25">
    <w:name w:val="Date Char"/>
    <w:basedOn w:val="20"/>
    <w:link w:val="11"/>
    <w:semiHidden/>
    <w:locked/>
    <w:uiPriority w:val="0"/>
    <w:rPr>
      <w:rFonts w:cs="Times New Roman"/>
    </w:rPr>
  </w:style>
  <w:style w:type="character" w:customStyle="1" w:styleId="26">
    <w:name w:val="Balloon Text Char"/>
    <w:basedOn w:val="20"/>
    <w:link w:val="12"/>
    <w:semiHidden/>
    <w:locked/>
    <w:uiPriority w:val="0"/>
    <w:rPr>
      <w:rFonts w:cs="Times New Roman"/>
      <w:sz w:val="2"/>
      <w:szCs w:val="2"/>
    </w:rPr>
  </w:style>
  <w:style w:type="character" w:customStyle="1" w:styleId="27">
    <w:name w:val="Footer Char"/>
    <w:basedOn w:val="20"/>
    <w:link w:val="13"/>
    <w:locked/>
    <w:uiPriority w:val="0"/>
    <w:rPr>
      <w:rFonts w:cs="Times New Roman"/>
      <w:sz w:val="18"/>
      <w:szCs w:val="18"/>
    </w:rPr>
  </w:style>
  <w:style w:type="character" w:customStyle="1" w:styleId="28">
    <w:name w:val="Header Char"/>
    <w:basedOn w:val="20"/>
    <w:link w:val="14"/>
    <w:locked/>
    <w:uiPriority w:val="0"/>
    <w:rPr>
      <w:rFonts w:cs="Times New Roman"/>
      <w:sz w:val="18"/>
      <w:szCs w:val="18"/>
    </w:rPr>
  </w:style>
  <w:style w:type="paragraph" w:customStyle="1" w:styleId="29">
    <w:name w:val="Body Text First Indent"/>
    <w:basedOn w:val="8"/>
    <w:qFormat/>
    <w:uiPriority w:val="0"/>
    <w:pPr>
      <w:spacing w:line="588" w:lineRule="exact"/>
      <w:ind w:firstLine="880" w:firstLineChars="200"/>
    </w:pPr>
  </w:style>
  <w:style w:type="character" w:customStyle="1" w:styleId="30">
    <w:name w:val="font01"/>
    <w:basedOn w:val="20"/>
    <w:uiPriority w:val="0"/>
    <w:rPr>
      <w:rFonts w:hint="eastAsia" w:ascii="宋体" w:hAnsi="宋体" w:eastAsia="宋体" w:cs="宋体"/>
      <w:color w:val="000000"/>
      <w:sz w:val="22"/>
      <w:szCs w:val="22"/>
    </w:rPr>
  </w:style>
  <w:style w:type="character" w:customStyle="1" w:styleId="31">
    <w:name w:val="font71"/>
    <w:basedOn w:val="20"/>
    <w:qFormat/>
    <w:uiPriority w:val="0"/>
    <w:rPr>
      <w:rFonts w:hint="eastAsia" w:ascii="宋体" w:hAnsi="宋体" w:eastAsia="宋体" w:cs="宋体"/>
      <w:color w:val="000000"/>
      <w:sz w:val="28"/>
      <w:szCs w:val="28"/>
      <w:u w:val="none"/>
    </w:rPr>
  </w:style>
  <w:style w:type="character" w:customStyle="1" w:styleId="32">
    <w:name w:val=" Char Char"/>
    <w:basedOn w:val="20"/>
    <w:uiPriority w:val="0"/>
    <w:rPr>
      <w:rFonts w:ascii="Calibri" w:hAnsi="Calibri" w:eastAsia="宋体"/>
      <w:kern w:val="2"/>
      <w:sz w:val="18"/>
      <w:szCs w:val="18"/>
      <w:lang w:val="en-US" w:eastAsia="zh-CN" w:bidi="ar-SA"/>
    </w:rPr>
  </w:style>
  <w:style w:type="paragraph" w:customStyle="1" w:styleId="33">
    <w:name w:val="正文 New New New New New New New New New New New New New New New New"/>
    <w:uiPriority w:val="0"/>
    <w:pPr>
      <w:widowControl w:val="0"/>
      <w:jc w:val="both"/>
    </w:pPr>
    <w:rPr>
      <w:rFonts w:eastAsia="宋体"/>
      <w:kern w:val="2"/>
      <w:sz w:val="21"/>
      <w:szCs w:val="24"/>
      <w:lang w:val="en-US" w:eastAsia="zh-CN" w:bidi="ar-SA"/>
    </w:rPr>
  </w:style>
  <w:style w:type="paragraph" w:customStyle="1" w:styleId="34">
    <w:name w:val="正文首行缩进1"/>
    <w:basedOn w:val="8"/>
    <w:qFormat/>
    <w:uiPriority w:val="0"/>
    <w:pPr>
      <w:spacing w:line="588" w:lineRule="exact"/>
      <w:ind w:firstLine="880" w:firstLineChars="200"/>
    </w:pPr>
  </w:style>
  <w:style w:type="paragraph" w:customStyle="1" w:styleId="35">
    <w:name w:val="无间隔"/>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36">
    <w:name w:val="列出段落1"/>
    <w:basedOn w:val="1"/>
    <w:qFormat/>
    <w:uiPriority w:val="34"/>
    <w:pPr>
      <w:ind w:firstLine="420" w:firstLineChars="200"/>
    </w:pPr>
  </w:style>
  <w:style w:type="paragraph" w:customStyle="1" w:styleId="37">
    <w:name w:val=" Char Char Char Char Char Char Char"/>
    <w:basedOn w:val="1"/>
    <w:uiPriority w:val="0"/>
    <w:rPr>
      <w:rFonts w:ascii="Times New Roman" w:hAnsi="Times New Roman" w:cs="Times New Roman"/>
      <w:sz w:val="32"/>
    </w:rPr>
  </w:style>
  <w:style w:type="paragraph" w:customStyle="1" w:styleId="38">
    <w:name w:val="Table Paragraph"/>
    <w:basedOn w:val="1"/>
    <w:qFormat/>
    <w:uiPriority w:val="1"/>
    <w:rPr>
      <w:rFonts w:ascii="宋体" w:hAnsi="宋体" w:eastAsia="宋体" w:cs="宋体"/>
    </w:rPr>
  </w:style>
  <w:style w:type="paragraph" w:customStyle="1" w:styleId="39">
    <w:name w:val="Char Char Char Char Char Char Char"/>
    <w:basedOn w:val="1"/>
    <w:uiPriority w:val="0"/>
    <w:rPr>
      <w:rFonts w:ascii="Times New Roman" w:hAnsi="Times New Roman" w:cs="Times New Roman"/>
      <w:sz w:val="32"/>
      <w:szCs w:val="32"/>
    </w:rPr>
  </w:style>
  <w:style w:type="paragraph" w:customStyle="1" w:styleId="40">
    <w:name w:val="文号"/>
    <w:basedOn w:val="1"/>
    <w:next w:val="1"/>
    <w:qFormat/>
    <w:uiPriority w:val="0"/>
    <w:pPr>
      <w:spacing w:line="420" w:lineRule="exact"/>
      <w:jc w:val="center"/>
    </w:pPr>
    <w:rPr>
      <w:rFonts w:hint="eastAsia" w:ascii="仿宋" w:hAnsi="仿宋" w:cs="Times New Roman"/>
      <w:kern w:val="21"/>
      <w:sz w:val="28"/>
      <w:szCs w:val="24"/>
    </w:rPr>
  </w:style>
  <w:style w:type="paragraph" w:customStyle="1" w:styleId="41">
    <w:name w:val="List Paragraph"/>
    <w:basedOn w:val="1"/>
    <w:qFormat/>
    <w:uiPriority w:val="1"/>
    <w:pPr>
      <w:spacing w:before="81" w:beforeLines="0"/>
      <w:ind w:left="1175" w:hanging="825"/>
    </w:pPr>
    <w:rPr>
      <w:rFonts w:ascii="宋体" w:hAnsi="宋体" w:eastAsia="宋体" w:cs="宋体"/>
    </w:rPr>
  </w:style>
  <w:style w:type="paragraph" w:customStyle="1" w:styleId="42">
    <w:name w:val="p0"/>
    <w:basedOn w:val="1"/>
    <w:qFormat/>
    <w:uiPriority w:val="0"/>
    <w:pPr>
      <w:widowControl/>
    </w:pPr>
    <w:rPr>
      <w:kern w:val="0"/>
      <w:szCs w:val="21"/>
    </w:rPr>
  </w:style>
  <w:style w:type="character" w:customStyle="1" w:styleId="43">
    <w:name w:val="font41"/>
    <w:basedOn w:val="20"/>
    <w:qFormat/>
    <w:uiPriority w:val="0"/>
    <w:rPr>
      <w:rFonts w:hint="eastAsia" w:ascii="宋体" w:hAnsi="宋体" w:eastAsia="宋体" w:cs="宋体"/>
      <w:color w:val="000000"/>
      <w:sz w:val="22"/>
      <w:szCs w:val="22"/>
      <w:u w:val="none"/>
    </w:rPr>
  </w:style>
  <w:style w:type="character" w:customStyle="1" w:styleId="44">
    <w:name w:val="font51"/>
    <w:basedOn w:val="20"/>
    <w:qFormat/>
    <w:uiPriority w:val="0"/>
    <w:rPr>
      <w:rFonts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国家统计局</Company>
  <Pages>2</Pages>
  <Words>1042</Words>
  <Characters>1152</Characters>
  <Lines>30</Lines>
  <Paragraphs>8</Paragraphs>
  <TotalTime>11</TotalTime>
  <ScaleCrop>false</ScaleCrop>
  <LinksUpToDate>false</LinksUpToDate>
  <CharactersWithSpaces>1183</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2018-01-24T14:49:00Z</dcterms:created>
  <dc:creator>lenovo</dc:creator>
  <cp:lastModifiedBy>宇</cp:lastModifiedBy>
  <cp:lastPrinted>2026-09-03T01:09:12Z</cp:lastPrinted>
  <dcterms:modified xsi:type="dcterms:W3CDTF">2026-10-17T08:58:43Z</dcterms:modified>
  <dc:title>黑龙江省统计局关于印发</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eyJoZGlkIjoiMTA5ZTYzODgwZmE3NjhiYzY5NmYyMzIyYzNlN2VkMDMiLCJ1c2VySWQiOiIyNTM0NzY1MjgifQ==</vt:lpwstr>
  </property>
  <property fmtid="{D5CDD505-2E9C-101B-9397-08002B2CF9AE}" pid="4" name="ICV">
    <vt:lpwstr>B0379BDB7AC540A6AF5ED2941D716CB6_13</vt:lpwstr>
  </property>
</Properties>
</file>